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A" w:rsidRDefault="00277A31" w:rsidP="002758FB">
      <w:r w:rsidRPr="002758FB">
        <w:rPr>
          <w:b/>
        </w:rPr>
        <w:t>Chatting it Up</w:t>
      </w:r>
      <w:r w:rsidR="00E3042E" w:rsidRPr="002758FB">
        <w:rPr>
          <w:b/>
        </w:rPr>
        <w:t xml:space="preserve"> at Home: An Easy Way to Affirm Children as Readers</w:t>
      </w:r>
      <w:r w:rsidR="002758FB" w:rsidRPr="002758FB">
        <w:rPr>
          <w:b/>
        </w:rPr>
        <w:br/>
      </w:r>
      <w:r w:rsidR="002758FB">
        <w:t xml:space="preserve">by </w:t>
      </w:r>
      <w:r w:rsidR="002758FB" w:rsidRPr="002758FB">
        <w:t xml:space="preserve">Rita Moore, Willamette University, </w:t>
      </w:r>
      <w:proofErr w:type="gramStart"/>
      <w:r w:rsidR="002758FB" w:rsidRPr="002758FB">
        <w:t>Salem</w:t>
      </w:r>
      <w:proofErr w:type="gramEnd"/>
      <w:r w:rsidR="002758FB" w:rsidRPr="002758FB">
        <w:t>, Oregon</w:t>
      </w:r>
    </w:p>
    <w:p w:rsidR="002758FB" w:rsidRPr="002758FB" w:rsidRDefault="002758FB" w:rsidP="002758FB"/>
    <w:p w:rsidR="00352B96" w:rsidRDefault="00F70079" w:rsidP="000D4F4A">
      <w:pPr>
        <w:spacing w:line="480" w:lineRule="auto"/>
      </w:pPr>
      <w:r>
        <w:tab/>
      </w:r>
      <w:r w:rsidR="00277A31">
        <w:t xml:space="preserve">As a parent of three, I often felt a little disengaged as my kids learned to read. </w:t>
      </w:r>
      <w:r w:rsidR="00F07A2B">
        <w:t>Later, as a reading teacher, I remembered how much I had wanted to be involved in my children’s developing reading proficiency. I was determined to build some bridges between home literacy and school literacy</w:t>
      </w:r>
      <w:r w:rsidRPr="00F70079">
        <w:t xml:space="preserve">. </w:t>
      </w:r>
      <w:r w:rsidR="00F07A2B">
        <w:t xml:space="preserve">What I figured out how to do calls for </w:t>
      </w:r>
      <w:r w:rsidRPr="00F70079">
        <w:t>no fancy materials</w:t>
      </w:r>
      <w:r w:rsidR="00F07A2B">
        <w:t>, required reading or required reading time,</w:t>
      </w:r>
      <w:r w:rsidRPr="00F70079">
        <w:t xml:space="preserve"> or scripted instructions. The best way to support children’s reading is to read with them and talk about what you read together</w:t>
      </w:r>
      <w:r w:rsidR="00352B96">
        <w:t xml:space="preserve">—have “reading conversations” that </w:t>
      </w:r>
      <w:r w:rsidR="00F07A2B">
        <w:t>parents and kids</w:t>
      </w:r>
      <w:r w:rsidR="00352B96">
        <w:t xml:space="preserve"> use to understand and appreciate what they read</w:t>
      </w:r>
      <w:r w:rsidRPr="00F70079">
        <w:t xml:space="preserve">. In the classroom we </w:t>
      </w:r>
      <w:r w:rsidR="00352B96">
        <w:t xml:space="preserve">sometimes </w:t>
      </w:r>
      <w:r w:rsidR="00F07A2B">
        <w:t>spin these</w:t>
      </w:r>
      <w:r w:rsidR="00352B96">
        <w:t xml:space="preserve"> conversations</w:t>
      </w:r>
      <w:r w:rsidRPr="00F70079">
        <w:t xml:space="preserve"> </w:t>
      </w:r>
      <w:r w:rsidR="00F07A2B">
        <w:t xml:space="preserve">as informally </w:t>
      </w:r>
      <w:r w:rsidRPr="00F70079">
        <w:t>“retelling” or “summarizing”</w:t>
      </w:r>
      <w:r w:rsidR="00F07A2B">
        <w:t>--</w:t>
      </w:r>
      <w:r w:rsidRPr="00F70079">
        <w:t>it’s one of the most research proven ways of aiding comprehen</w:t>
      </w:r>
      <w:r w:rsidR="00F07A2B">
        <w:t>sion and vocabulary development but more important, teachers know it works. Now it’s time to share that secret with parents.</w:t>
      </w:r>
      <w:r>
        <w:t xml:space="preserve"> </w:t>
      </w:r>
    </w:p>
    <w:p w:rsidR="000D4F4A" w:rsidRPr="00F70079" w:rsidRDefault="00F07A2B" w:rsidP="000D4F4A">
      <w:pPr>
        <w:spacing w:line="480" w:lineRule="auto"/>
      </w:pPr>
      <w:r>
        <w:tab/>
      </w:r>
      <w:r w:rsidR="00706260">
        <w:t xml:space="preserve">Thinking about what the writer means and each reader brings his or her own interpretation of a story, an article, or even a textbook reading is </w:t>
      </w:r>
      <w:proofErr w:type="gramStart"/>
      <w:r w:rsidR="00706260">
        <w:t>key</w:t>
      </w:r>
      <w:proofErr w:type="gramEnd"/>
      <w:r w:rsidR="00706260">
        <w:t xml:space="preserve"> to helping readers understand their potential as readers. Integral to this process of </w:t>
      </w:r>
      <w:r w:rsidR="00F87B80">
        <w:t>supporting</w:t>
      </w:r>
      <w:r w:rsidR="00706260">
        <w:t xml:space="preserve"> reading</w:t>
      </w:r>
      <w:r w:rsidR="00F87B80">
        <w:t xml:space="preserve"> development</w:t>
      </w:r>
      <w:r w:rsidR="00706260">
        <w:t xml:space="preserve"> is talking about any kind of experiences the reader can use to connect to the printed page. Once that connection is made, then</w:t>
      </w:r>
      <w:r w:rsidR="00BF19CE">
        <w:t xml:space="preserve"> learners</w:t>
      </w:r>
      <w:r w:rsidR="00706260">
        <w:t xml:space="preserve"> draw on those experiences and begin to prob</w:t>
      </w:r>
      <w:r w:rsidR="00BF19CE">
        <w:t>lem solve their development as readers.</w:t>
      </w:r>
      <w:r w:rsidR="00F87B80">
        <w:t xml:space="preserve"> Parents and children connect in special ways because unlike the classroom teacher, they have ma</w:t>
      </w:r>
      <w:r>
        <w:t>ny years of shared experiences to bring to the reading conversation.</w:t>
      </w:r>
    </w:p>
    <w:p w:rsidR="000D4F4A" w:rsidRDefault="00F87B80" w:rsidP="000D4F4A">
      <w:pPr>
        <w:spacing w:line="480" w:lineRule="auto"/>
        <w:ind w:firstLine="360"/>
        <w:rPr>
          <w:rFonts w:ascii="Times" w:hAnsi="Times"/>
        </w:rPr>
      </w:pPr>
      <w:r>
        <w:rPr>
          <w:rFonts w:ascii="Times" w:hAnsi="Times"/>
        </w:rPr>
        <w:t>As a reading teacher, I encourage</w:t>
      </w:r>
      <w:r w:rsidR="000D4F4A">
        <w:rPr>
          <w:rFonts w:ascii="Times" w:hAnsi="Times"/>
        </w:rPr>
        <w:t xml:space="preserve"> parents to </w:t>
      </w:r>
      <w:r w:rsidR="00BF19CE">
        <w:rPr>
          <w:rFonts w:ascii="Times" w:hAnsi="Times"/>
        </w:rPr>
        <w:t xml:space="preserve">talk </w:t>
      </w:r>
      <w:r w:rsidR="000D4F4A">
        <w:rPr>
          <w:rFonts w:ascii="Times" w:hAnsi="Times"/>
        </w:rPr>
        <w:t>at home</w:t>
      </w:r>
      <w:r w:rsidR="00BF19CE">
        <w:rPr>
          <w:rFonts w:ascii="Times" w:hAnsi="Times"/>
        </w:rPr>
        <w:t xml:space="preserve"> about what children read at school</w:t>
      </w:r>
      <w:r w:rsidR="00BF19CE">
        <w:rPr>
          <w:rFonts w:ascii="Times" w:hAnsi="Times" w:hint="eastAsia"/>
        </w:rPr>
        <w:t xml:space="preserve">. </w:t>
      </w:r>
      <w:r w:rsidR="00F07A2B">
        <w:rPr>
          <w:rFonts w:ascii="Times" w:hAnsi="Times"/>
        </w:rPr>
        <w:t>This can be accomplished in five minutes or less but the impact on readers is immediate</w:t>
      </w:r>
      <w:r>
        <w:rPr>
          <w:rFonts w:ascii="Times" w:hAnsi="Times"/>
        </w:rPr>
        <w:t>. W</w:t>
      </w:r>
      <w:r w:rsidR="00BF19CE">
        <w:rPr>
          <w:rFonts w:ascii="Times" w:hAnsi="Times"/>
        </w:rPr>
        <w:t>hile it</w:t>
      </w:r>
      <w:r w:rsidR="00BF19CE">
        <w:rPr>
          <w:rFonts w:ascii="Times" w:hAnsi="Times" w:hint="eastAsia"/>
        </w:rPr>
        <w:t>’</w:t>
      </w:r>
      <w:r w:rsidR="00BF19CE">
        <w:rPr>
          <w:rFonts w:ascii="Times" w:hAnsi="Times"/>
        </w:rPr>
        <w:t>s helpful for teachers to provide parents with access to what students are reading, it</w:t>
      </w:r>
      <w:r w:rsidR="00BF19CE">
        <w:rPr>
          <w:rFonts w:ascii="Times" w:hAnsi="Times" w:hint="eastAsia"/>
        </w:rPr>
        <w:t>’</w:t>
      </w:r>
      <w:r w:rsidR="00BF19CE">
        <w:rPr>
          <w:rFonts w:ascii="Times" w:hAnsi="Times"/>
        </w:rPr>
        <w:t xml:space="preserve">s not required. Parents </w:t>
      </w:r>
      <w:r w:rsidR="000D4F4A">
        <w:rPr>
          <w:rFonts w:ascii="Times" w:hAnsi="Times"/>
        </w:rPr>
        <w:t>talk</w:t>
      </w:r>
      <w:r w:rsidR="00BF19CE">
        <w:rPr>
          <w:rFonts w:ascii="Times" w:hAnsi="Times"/>
        </w:rPr>
        <w:t xml:space="preserve"> with </w:t>
      </w:r>
      <w:r w:rsidR="00352B96">
        <w:rPr>
          <w:rFonts w:ascii="Times" w:hAnsi="Times"/>
        </w:rPr>
        <w:t>their children</w:t>
      </w:r>
      <w:r w:rsidR="000D4F4A">
        <w:rPr>
          <w:rFonts w:ascii="Times" w:hAnsi="Times"/>
        </w:rPr>
        <w:t xml:space="preserve"> about vocabulary from shared readings as well as retellings</w:t>
      </w:r>
      <w:r>
        <w:rPr>
          <w:rFonts w:ascii="Times" w:hAnsi="Times"/>
        </w:rPr>
        <w:t xml:space="preserve"> that children want to talk about</w:t>
      </w:r>
      <w:r w:rsidR="000D4F4A">
        <w:rPr>
          <w:rFonts w:ascii="Times" w:hAnsi="Times"/>
        </w:rPr>
        <w:t xml:space="preserve">. </w:t>
      </w:r>
      <w:r w:rsidR="00352B96">
        <w:rPr>
          <w:rFonts w:ascii="Times" w:hAnsi="Times"/>
        </w:rPr>
        <w:t>Parents</w:t>
      </w:r>
      <w:r w:rsidR="000D4F4A">
        <w:rPr>
          <w:rFonts w:ascii="Times" w:hAnsi="Times"/>
        </w:rPr>
        <w:t xml:space="preserve"> assume an active, empowered role in the </w:t>
      </w:r>
      <w:r w:rsidR="000D4F4A">
        <w:rPr>
          <w:rFonts w:ascii="Times" w:hAnsi="Times"/>
        </w:rPr>
        <w:lastRenderedPageBreak/>
        <w:t xml:space="preserve">reading process and </w:t>
      </w:r>
      <w:r w:rsidR="00352B96">
        <w:rPr>
          <w:rFonts w:ascii="Times" w:hAnsi="Times"/>
        </w:rPr>
        <w:t>in a safe, non-threatening way</w:t>
      </w:r>
      <w:r w:rsidR="000D4F4A">
        <w:rPr>
          <w:rFonts w:ascii="Times" w:hAnsi="Times"/>
        </w:rPr>
        <w:t xml:space="preserve"> </w:t>
      </w:r>
      <w:r w:rsidR="00352B96">
        <w:rPr>
          <w:rFonts w:ascii="Times" w:hAnsi="Times"/>
        </w:rPr>
        <w:t>take part in the teaching of reading—modeling the same ways of understanding print that is being affirmed in the classroom</w:t>
      </w:r>
      <w:r w:rsidR="000D4F4A">
        <w:rPr>
          <w:rFonts w:ascii="Times" w:hAnsi="Times"/>
        </w:rPr>
        <w:t xml:space="preserve">. When parents understand that that children learn as much or more from talk about reading and miscues in reading, then </w:t>
      </w:r>
      <w:r>
        <w:rPr>
          <w:rFonts w:ascii="Times" w:hAnsi="Times"/>
        </w:rPr>
        <w:t>reading conversations at home</w:t>
      </w:r>
      <w:r w:rsidR="000D4F4A">
        <w:rPr>
          <w:rFonts w:ascii="Times" w:hAnsi="Times"/>
        </w:rPr>
        <w:t xml:space="preserve"> </w:t>
      </w:r>
      <w:r>
        <w:rPr>
          <w:rFonts w:ascii="Times" w:hAnsi="Times"/>
        </w:rPr>
        <w:t>become</w:t>
      </w:r>
      <w:r w:rsidR="000D4F4A" w:rsidRPr="005948AB">
        <w:rPr>
          <w:rFonts w:ascii="Times" w:hAnsi="Times"/>
        </w:rPr>
        <w:t xml:space="preserve"> a natural</w:t>
      </w:r>
      <w:r w:rsidR="000D4F4A">
        <w:rPr>
          <w:rFonts w:ascii="Times" w:hAnsi="Times"/>
        </w:rPr>
        <w:t xml:space="preserve"> part of home culture. One parent said</w:t>
      </w:r>
      <w:r w:rsidR="00352B96">
        <w:rPr>
          <w:rFonts w:ascii="Times" w:hAnsi="Times"/>
        </w:rPr>
        <w:t xml:space="preserve"> after trying the strategy of </w:t>
      </w:r>
      <w:r w:rsidR="00352B96">
        <w:rPr>
          <w:rFonts w:ascii="Times" w:hAnsi="Times" w:hint="eastAsia"/>
        </w:rPr>
        <w:t>home reading conversations</w:t>
      </w:r>
      <w:r w:rsidR="000D4F4A">
        <w:rPr>
          <w:rFonts w:ascii="Times" w:hAnsi="Times"/>
        </w:rPr>
        <w:t>: “We put words on the ‘fridge now that we want to talk about instead looking them up in the dictionary. Conversations like these have changed attitudes toward reading at our house.”</w:t>
      </w:r>
    </w:p>
    <w:p w:rsidR="00E3042E" w:rsidRDefault="00F87B80" w:rsidP="000D4F4A">
      <w:pPr>
        <w:spacing w:line="480" w:lineRule="auto"/>
        <w:ind w:firstLine="360"/>
        <w:rPr>
          <w:rFonts w:ascii="Times" w:hAnsi="Times"/>
        </w:rPr>
      </w:pPr>
      <w:r>
        <w:rPr>
          <w:rFonts w:ascii="Times" w:hAnsi="Times"/>
        </w:rPr>
        <w:t>Teachers often provide</w:t>
      </w:r>
      <w:r w:rsidR="000D4F4A" w:rsidRPr="00524AE5">
        <w:rPr>
          <w:rFonts w:ascii="Times" w:hAnsi="Times"/>
        </w:rPr>
        <w:t xml:space="preserve"> in depth information to share with parents during face-to-face conferences or meetings about student progress. </w:t>
      </w:r>
      <w:r>
        <w:rPr>
          <w:rFonts w:ascii="Times" w:hAnsi="Times"/>
        </w:rPr>
        <w:t>My colleague Vicki</w:t>
      </w:r>
      <w:r w:rsidR="00E3042E">
        <w:rPr>
          <w:rFonts w:ascii="Times" w:hAnsi="Times"/>
        </w:rPr>
        <w:t>, a literacy coach and long-time classroom teacher,</w:t>
      </w:r>
      <w:r>
        <w:rPr>
          <w:rFonts w:ascii="Times" w:hAnsi="Times"/>
        </w:rPr>
        <w:t xml:space="preserve"> often shares </w:t>
      </w:r>
      <w:r w:rsidR="008077FD">
        <w:rPr>
          <w:rFonts w:ascii="Times" w:hAnsi="Times"/>
        </w:rPr>
        <w:t>her way of thinking about teaching reading to parents. When children struggle with a word, they often substitute another word, skip the unfamiliar word, or make up a place holder word. It</w:t>
      </w:r>
      <w:r w:rsidR="008077FD">
        <w:rPr>
          <w:rFonts w:ascii="Times" w:hAnsi="Times" w:hint="eastAsia"/>
        </w:rPr>
        <w:t>’</w:t>
      </w:r>
      <w:r w:rsidR="008077FD">
        <w:rPr>
          <w:rFonts w:ascii="Times" w:hAnsi="Times"/>
        </w:rPr>
        <w:t xml:space="preserve">s similar to what writers do with first drafts. Vicki shows parents miscues that her students are </w:t>
      </w:r>
      <w:r w:rsidR="008077FD">
        <w:rPr>
          <w:rFonts w:ascii="Times" w:hAnsi="Times" w:hint="eastAsia"/>
        </w:rPr>
        <w:t>working</w:t>
      </w:r>
      <w:r w:rsidR="008077FD">
        <w:rPr>
          <w:rFonts w:ascii="Times" w:hAnsi="Times"/>
        </w:rPr>
        <w:t xml:space="preserve"> on</w:t>
      </w:r>
      <w:r w:rsidR="000D4F4A" w:rsidRPr="00524AE5">
        <w:rPr>
          <w:rFonts w:ascii="Times" w:hAnsi="Times"/>
        </w:rPr>
        <w:t xml:space="preserve"> and</w:t>
      </w:r>
      <w:r w:rsidR="008077FD">
        <w:rPr>
          <w:rFonts w:ascii="Times" w:hAnsi="Times"/>
        </w:rPr>
        <w:t xml:space="preserve"> shares</w:t>
      </w:r>
      <w:r w:rsidR="00E3042E">
        <w:rPr>
          <w:rFonts w:ascii="Times" w:hAnsi="Times"/>
        </w:rPr>
        <w:t xml:space="preserve"> samples of</w:t>
      </w:r>
      <w:r w:rsidR="008077FD">
        <w:rPr>
          <w:rFonts w:ascii="Times" w:hAnsi="Times"/>
        </w:rPr>
        <w:t xml:space="preserve"> their retellings (summaries) that they have shared with other students. </w:t>
      </w:r>
      <w:r w:rsidR="00E3042E">
        <w:rPr>
          <w:rFonts w:ascii="Times" w:hAnsi="Times"/>
        </w:rPr>
        <w:t xml:space="preserve">She explains that her students </w:t>
      </w:r>
      <w:r w:rsidR="008077FD">
        <w:rPr>
          <w:rFonts w:ascii="Times" w:hAnsi="Times"/>
        </w:rPr>
        <w:t>talk about their miscues and retellings in groups and share their thinking about why they miscued or</w:t>
      </w:r>
      <w:r w:rsidR="00E3042E">
        <w:rPr>
          <w:rFonts w:ascii="Times" w:hAnsi="Times"/>
        </w:rPr>
        <w:t xml:space="preserve"> explore</w:t>
      </w:r>
      <w:r w:rsidR="008077FD">
        <w:rPr>
          <w:rFonts w:ascii="Times" w:hAnsi="Times"/>
        </w:rPr>
        <w:t xml:space="preserve"> their interpretations of readings. </w:t>
      </w:r>
      <w:r w:rsidR="0028576A">
        <w:rPr>
          <w:rFonts w:ascii="Times" w:hAnsi="Times"/>
        </w:rPr>
        <w:t xml:space="preserve"> </w:t>
      </w:r>
    </w:p>
    <w:p w:rsidR="00E3042E" w:rsidRDefault="0028576A" w:rsidP="000D4F4A">
      <w:pPr>
        <w:spacing w:line="480" w:lineRule="auto"/>
        <w:ind w:firstLine="360"/>
        <w:rPr>
          <w:rFonts w:ascii="Times" w:hAnsi="Times"/>
        </w:rPr>
      </w:pPr>
      <w:r>
        <w:rPr>
          <w:rFonts w:ascii="Times" w:hAnsi="Times"/>
        </w:rPr>
        <w:t>This kind of evidence of who their children are as readers</w:t>
      </w:r>
      <w:r w:rsidR="00E3042E">
        <w:rPr>
          <w:rFonts w:ascii="Times" w:hAnsi="Times"/>
        </w:rPr>
        <w:t xml:space="preserve"> (from early grades to intermediate)</w:t>
      </w:r>
      <w:r>
        <w:rPr>
          <w:rFonts w:ascii="Times" w:hAnsi="Times"/>
        </w:rPr>
        <w:t xml:space="preserve"> resonates with parents because the conversations begun in class can now continue at home. </w:t>
      </w:r>
      <w:r w:rsidR="000D4F4A" w:rsidRPr="00524AE5">
        <w:rPr>
          <w:rFonts w:ascii="Times" w:hAnsi="Times"/>
        </w:rPr>
        <w:t xml:space="preserve">That information coupled with the critical dialogue the teacher has participated in with the student gives insight into a child’s progress we have lacked in the past. </w:t>
      </w:r>
      <w:r w:rsidR="00E3042E">
        <w:rPr>
          <w:rFonts w:ascii="Times" w:hAnsi="Times"/>
        </w:rPr>
        <w:t>After talking with Vicki and other parents about how children make mistakes, correct them, and often relate one reading experience to another, one father</w:t>
      </w:r>
      <w:r w:rsidR="000D4F4A" w:rsidRPr="00524AE5">
        <w:rPr>
          <w:rFonts w:ascii="Times" w:hAnsi="Times"/>
        </w:rPr>
        <w:t xml:space="preserve"> said, “Yes, now that you have shown me and explained this to me, I have seen her do that at home, too. Now we can talk about it during reading time at home.” </w:t>
      </w:r>
      <w:r>
        <w:rPr>
          <w:rFonts w:ascii="Times" w:hAnsi="Times"/>
        </w:rPr>
        <w:t xml:space="preserve"> </w:t>
      </w:r>
    </w:p>
    <w:p w:rsidR="000D4F4A" w:rsidRDefault="0028576A" w:rsidP="000D4F4A">
      <w:pPr>
        <w:spacing w:line="480" w:lineRule="auto"/>
        <w:ind w:firstLine="360"/>
        <w:rPr>
          <w:rFonts w:ascii="Times" w:hAnsi="Times"/>
        </w:rPr>
      </w:pPr>
      <w:r>
        <w:rPr>
          <w:rFonts w:ascii="Times" w:hAnsi="Times"/>
        </w:rPr>
        <w:lastRenderedPageBreak/>
        <w:t>As a reading teacher of over 20 years, I</w:t>
      </w:r>
      <w:r>
        <w:rPr>
          <w:rFonts w:ascii="Times" w:hAnsi="Times" w:hint="eastAsia"/>
        </w:rPr>
        <w:t xml:space="preserve"> strongly encourage parents to take advantage of one of the most powerful ways of helping children become confident, effective readers…</w:t>
      </w:r>
      <w:r>
        <w:rPr>
          <w:rFonts w:ascii="Times" w:hAnsi="Times"/>
        </w:rPr>
        <w:t xml:space="preserve">take a few minutes in the car, at meal time, or whenever you find the opportunity to have a </w:t>
      </w:r>
      <w:r>
        <w:rPr>
          <w:rFonts w:ascii="Times" w:hAnsi="Times" w:hint="eastAsia"/>
        </w:rPr>
        <w:t>“</w:t>
      </w:r>
      <w:r>
        <w:rPr>
          <w:rFonts w:ascii="Times" w:hAnsi="Times"/>
        </w:rPr>
        <w:t>reading conversation</w:t>
      </w:r>
      <w:r>
        <w:rPr>
          <w:rFonts w:ascii="Times" w:hAnsi="Times" w:hint="eastAsia"/>
        </w:rPr>
        <w:t>”</w:t>
      </w:r>
      <w:r>
        <w:rPr>
          <w:rFonts w:ascii="Times" w:hAnsi="Times"/>
        </w:rPr>
        <w:t xml:space="preserve"> with your child. </w:t>
      </w:r>
      <w:r w:rsidR="00277A31">
        <w:rPr>
          <w:rFonts w:ascii="Times" w:hAnsi="Times"/>
        </w:rPr>
        <w:t>Share your thinking about miscues and their versions of retellings. It</w:t>
      </w:r>
      <w:r w:rsidR="00277A31">
        <w:rPr>
          <w:rFonts w:ascii="Times" w:hAnsi="Times" w:hint="eastAsia"/>
        </w:rPr>
        <w:t>’</w:t>
      </w:r>
      <w:r w:rsidR="00277A31">
        <w:rPr>
          <w:rFonts w:ascii="Times" w:hAnsi="Times"/>
        </w:rPr>
        <w:t>s fun and sends the message that what they do as readers is important.</w:t>
      </w: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6F6C4D" w:rsidRDefault="006F6C4D" w:rsidP="000D4F4A">
      <w:pPr>
        <w:spacing w:line="480" w:lineRule="auto"/>
        <w:ind w:firstLine="360"/>
        <w:rPr>
          <w:rFonts w:ascii="Times" w:hAnsi="Times"/>
        </w:rPr>
      </w:pPr>
    </w:p>
    <w:p w:rsidR="00BB518A" w:rsidRPr="006F6C4D" w:rsidRDefault="006F6C4D">
      <w:pPr>
        <w:rPr>
          <w:rFonts w:ascii="Arial" w:hAnsi="Arial" w:cs="Arial"/>
          <w:sz w:val="20"/>
          <w:szCs w:val="20"/>
        </w:rPr>
      </w:pPr>
      <w:r w:rsidRPr="006F6C4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52500" cy="819150"/>
            <wp:effectExtent l="19050" t="0" r="0" b="0"/>
            <wp:wrapSquare wrapText="bothSides"/>
            <wp:docPr id="2" name="Picture 1" descr="WLUemail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Uemail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C4D">
        <w:rPr>
          <w:rFonts w:ascii="Arial" w:hAnsi="Arial" w:cs="Arial"/>
          <w:sz w:val="20"/>
          <w:szCs w:val="20"/>
        </w:rPr>
        <w:t>WLU/NCTE</w:t>
      </w:r>
    </w:p>
    <w:p w:rsidR="006F6C4D" w:rsidRPr="006F6C4D" w:rsidRDefault="006F6C4D">
      <w:pPr>
        <w:rPr>
          <w:rFonts w:ascii="Arial" w:hAnsi="Arial" w:cs="Arial"/>
          <w:sz w:val="20"/>
          <w:szCs w:val="20"/>
        </w:rPr>
      </w:pPr>
      <w:r w:rsidRPr="006F6C4D">
        <w:rPr>
          <w:rFonts w:ascii="Arial" w:hAnsi="Arial" w:cs="Arial"/>
          <w:sz w:val="20"/>
          <w:szCs w:val="20"/>
        </w:rPr>
        <w:t>1111 W. Kenyon Road</w:t>
      </w:r>
    </w:p>
    <w:p w:rsidR="006F6C4D" w:rsidRPr="006F6C4D" w:rsidRDefault="006F6C4D">
      <w:pPr>
        <w:rPr>
          <w:rFonts w:ascii="Arial" w:hAnsi="Arial" w:cs="Arial"/>
          <w:sz w:val="20"/>
          <w:szCs w:val="20"/>
        </w:rPr>
      </w:pPr>
      <w:r w:rsidRPr="006F6C4D">
        <w:rPr>
          <w:rFonts w:ascii="Arial" w:hAnsi="Arial" w:cs="Arial"/>
          <w:sz w:val="20"/>
          <w:szCs w:val="20"/>
        </w:rPr>
        <w:t>Urbana, IL 61801-1096</w:t>
      </w:r>
    </w:p>
    <w:p w:rsidR="006F6C4D" w:rsidRPr="006F6C4D" w:rsidRDefault="006F6C4D">
      <w:pPr>
        <w:rPr>
          <w:rFonts w:ascii="Arial" w:hAnsi="Arial" w:cs="Arial"/>
          <w:sz w:val="20"/>
          <w:szCs w:val="20"/>
        </w:rPr>
      </w:pPr>
      <w:r w:rsidRPr="006F6C4D">
        <w:rPr>
          <w:rFonts w:ascii="Arial" w:hAnsi="Arial" w:cs="Arial"/>
          <w:sz w:val="20"/>
          <w:szCs w:val="20"/>
        </w:rPr>
        <w:t>800-369-6283</w:t>
      </w:r>
    </w:p>
    <w:p w:rsidR="006F6C4D" w:rsidRDefault="006F6C4D">
      <w:pPr>
        <w:rPr>
          <w:rFonts w:ascii="Arial" w:hAnsi="Arial" w:cs="Arial"/>
          <w:sz w:val="20"/>
          <w:szCs w:val="20"/>
        </w:rPr>
      </w:pPr>
      <w:hyperlink r:id="rId7" w:history="1">
        <w:r w:rsidRPr="006F6C4D">
          <w:rPr>
            <w:rStyle w:val="Hyperlink"/>
            <w:rFonts w:ascii="Arial" w:hAnsi="Arial" w:cs="Arial"/>
            <w:sz w:val="20"/>
            <w:szCs w:val="20"/>
          </w:rPr>
          <w:t>www.ncte.org/wlu</w:t>
        </w:r>
      </w:hyperlink>
      <w:r w:rsidRPr="006F6C4D">
        <w:rPr>
          <w:rFonts w:ascii="Arial" w:hAnsi="Arial" w:cs="Arial"/>
          <w:sz w:val="20"/>
          <w:szCs w:val="20"/>
        </w:rPr>
        <w:t xml:space="preserve"> </w:t>
      </w:r>
    </w:p>
    <w:p w:rsidR="006F6C4D" w:rsidRDefault="006F6C4D">
      <w:pPr>
        <w:rPr>
          <w:rFonts w:ascii="Arial" w:hAnsi="Arial" w:cs="Arial"/>
          <w:sz w:val="20"/>
          <w:szCs w:val="20"/>
        </w:rPr>
      </w:pPr>
    </w:p>
    <w:p w:rsidR="006F6C4D" w:rsidRDefault="006F6C4D">
      <w:pPr>
        <w:rPr>
          <w:rFonts w:ascii="Arial" w:hAnsi="Arial" w:cs="Arial"/>
          <w:sz w:val="20"/>
          <w:szCs w:val="20"/>
        </w:rPr>
      </w:pPr>
    </w:p>
    <w:p w:rsidR="006F6C4D" w:rsidRPr="006F6C4D" w:rsidRDefault="006F6C4D">
      <w:pPr>
        <w:rPr>
          <w:rFonts w:ascii="Arial" w:hAnsi="Arial" w:cs="Arial"/>
          <w:sz w:val="20"/>
          <w:szCs w:val="20"/>
        </w:rPr>
      </w:pPr>
    </w:p>
    <w:sectPr w:rsidR="006F6C4D" w:rsidRPr="006F6C4D" w:rsidSect="009414FF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FF" w:rsidRDefault="009414FF" w:rsidP="009414FF">
      <w:r>
        <w:separator/>
      </w:r>
    </w:p>
  </w:endnote>
  <w:endnote w:type="continuationSeparator" w:id="0">
    <w:p w:rsidR="009414FF" w:rsidRDefault="009414FF" w:rsidP="0094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8719"/>
      <w:docPartObj>
        <w:docPartGallery w:val="Page Numbers (Bottom of Page)"/>
        <w:docPartUnique/>
      </w:docPartObj>
    </w:sdtPr>
    <w:sdtContent>
      <w:p w:rsidR="009414FF" w:rsidRDefault="00960DA9">
        <w:pPr>
          <w:pStyle w:val="Footer"/>
          <w:jc w:val="right"/>
        </w:pPr>
        <w:r w:rsidRPr="009414FF">
          <w:rPr>
            <w:sz w:val="20"/>
            <w:szCs w:val="20"/>
          </w:rPr>
          <w:fldChar w:fldCharType="begin"/>
        </w:r>
        <w:r w:rsidR="009414FF" w:rsidRPr="009414FF">
          <w:rPr>
            <w:sz w:val="20"/>
            <w:szCs w:val="20"/>
          </w:rPr>
          <w:instrText xml:space="preserve"> PAGE   \* MERGEFORMAT </w:instrText>
        </w:r>
        <w:r w:rsidRPr="009414FF">
          <w:rPr>
            <w:sz w:val="20"/>
            <w:szCs w:val="20"/>
          </w:rPr>
          <w:fldChar w:fldCharType="separate"/>
        </w:r>
        <w:r w:rsidR="006F6C4D">
          <w:rPr>
            <w:noProof/>
            <w:sz w:val="20"/>
            <w:szCs w:val="20"/>
          </w:rPr>
          <w:t>3</w:t>
        </w:r>
        <w:r w:rsidRPr="009414FF">
          <w:rPr>
            <w:sz w:val="20"/>
            <w:szCs w:val="20"/>
          </w:rPr>
          <w:fldChar w:fldCharType="end"/>
        </w:r>
      </w:p>
    </w:sdtContent>
  </w:sdt>
  <w:p w:rsidR="009414FF" w:rsidRDefault="00941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FF" w:rsidRDefault="009414FF" w:rsidP="009414FF">
      <w:r>
        <w:separator/>
      </w:r>
    </w:p>
  </w:footnote>
  <w:footnote w:type="continuationSeparator" w:id="0">
    <w:p w:rsidR="009414FF" w:rsidRDefault="009414FF" w:rsidP="00941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4A"/>
    <w:rsid w:val="000D4F4A"/>
    <w:rsid w:val="001E319D"/>
    <w:rsid w:val="002758FB"/>
    <w:rsid w:val="00277A31"/>
    <w:rsid w:val="0028576A"/>
    <w:rsid w:val="00311478"/>
    <w:rsid w:val="00352B96"/>
    <w:rsid w:val="00470CBE"/>
    <w:rsid w:val="006021D2"/>
    <w:rsid w:val="006F6C4D"/>
    <w:rsid w:val="00706260"/>
    <w:rsid w:val="008077FD"/>
    <w:rsid w:val="009414FF"/>
    <w:rsid w:val="00960DA9"/>
    <w:rsid w:val="00A31E70"/>
    <w:rsid w:val="00BB518A"/>
    <w:rsid w:val="00BF19CE"/>
    <w:rsid w:val="00C62BF5"/>
    <w:rsid w:val="00E16819"/>
    <w:rsid w:val="00E3042E"/>
    <w:rsid w:val="00F07A2B"/>
    <w:rsid w:val="00F70079"/>
    <w:rsid w:val="00F8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1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4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1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14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1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4FF"/>
    <w:rPr>
      <w:sz w:val="24"/>
      <w:szCs w:val="24"/>
    </w:rPr>
  </w:style>
  <w:style w:type="character" w:styleId="Hyperlink">
    <w:name w:val="Hyperlink"/>
    <w:basedOn w:val="DefaultParagraphFont"/>
    <w:rsid w:val="006F6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cte.org/w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9D000F"/>
    <w:rsid w:val="009D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705D54F7A451DB4A180F9A6F27053">
    <w:name w:val="F16705D54F7A451DB4A180F9A6F27053"/>
    <w:rsid w:val="009D00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Chatting it Up at Home: An Easy Way to Affirm Children as Readers</vt:lpstr>
    </vt:vector>
  </TitlesOfParts>
  <Company> home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Chatting it Up at Home: An Easy Way to Affirm Children as Readers</dc:title>
  <dc:subject/>
  <dc:creator> Rita Moore</dc:creator>
  <cp:keywords/>
  <dc:description/>
  <cp:lastModifiedBy>DZAGORSKi</cp:lastModifiedBy>
  <cp:revision>5</cp:revision>
  <dcterms:created xsi:type="dcterms:W3CDTF">2012-01-31T14:22:00Z</dcterms:created>
  <dcterms:modified xsi:type="dcterms:W3CDTF">2012-01-31T14:36:00Z</dcterms:modified>
</cp:coreProperties>
</file>