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AA" w:rsidRDefault="001E63AA" w:rsidP="00441076">
      <w:pPr>
        <w:pStyle w:val="NoSpacing"/>
        <w:jc w:val="center"/>
        <w:rPr>
          <w:b/>
          <w:color w:val="F79646" w:themeColor="accent6"/>
          <w:sz w:val="56"/>
          <w:szCs w:val="56"/>
        </w:rPr>
      </w:pPr>
      <w:r w:rsidRPr="00381E90">
        <w:rPr>
          <w:b/>
          <w:color w:val="F79646" w:themeColor="accent6"/>
          <w:sz w:val="56"/>
          <w:szCs w:val="56"/>
        </w:rPr>
        <w:t>"In Defense of Good Teaching" Award</w:t>
      </w:r>
    </w:p>
    <w:p w:rsidR="00381E90" w:rsidRPr="00381E90" w:rsidRDefault="00381E90" w:rsidP="00381E90">
      <w:pPr>
        <w:pStyle w:val="NoSpacing"/>
      </w:pPr>
    </w:p>
    <w:p w:rsidR="00933124" w:rsidRPr="006619CA" w:rsidRDefault="00441076" w:rsidP="004F7A1B">
      <w:pPr>
        <w:pStyle w:val="NoSpacing"/>
        <w:rPr>
          <w:rFonts w:eastAsia="Times New Roman" w:cs="Arial"/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32"/>
          <w:szCs w:val="32"/>
        </w:rPr>
        <w:t xml:space="preserve">         </w:t>
      </w:r>
      <w:r w:rsidR="00381E90">
        <w:rPr>
          <w:noProof/>
        </w:rPr>
        <w:drawing>
          <wp:inline distT="0" distB="0" distL="0" distR="0">
            <wp:extent cx="1209675" cy="1209675"/>
            <wp:effectExtent l="19050" t="0" r="9525" b="0"/>
            <wp:docPr id="18" name="Picture 7" descr="https://lh4.googleusercontent.com/-63oxSD0f9cY/AAAAAAAAAAI/AAAAAAAAGag/6hRm8lPWY_M/s250-c-k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63oxSD0f9cY/AAAAAAAAAAI/AAAAAAAAGag/6hRm8lPWY_M/s250-c-k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79646" w:themeColor="accent6"/>
          <w:sz w:val="32"/>
          <w:szCs w:val="32"/>
        </w:rPr>
        <w:t xml:space="preserve">   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</w:t>
      </w:r>
      <w:r w:rsidR="006619CA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6619CA" w:rsidRPr="006619CA">
        <w:rPr>
          <w:rFonts w:eastAsia="Times New Roman" w:cs="Arial"/>
          <w:b/>
          <w:color w:val="F79646" w:themeColor="accent6"/>
          <w:sz w:val="48"/>
          <w:szCs w:val="48"/>
        </w:rPr>
        <w:tab/>
        <w:t xml:space="preserve">  Kenneth</w:t>
      </w:r>
      <w:r w:rsidR="006619CA" w:rsidRPr="006619CA">
        <w:rPr>
          <w:rFonts w:eastAsia="Times New Roman" w:cs="Arial"/>
          <w:b/>
          <w:color w:val="F79646" w:themeColor="accent6"/>
          <w:sz w:val="44"/>
          <w:szCs w:val="44"/>
        </w:rPr>
        <w:t xml:space="preserve"> S. Goodman</w:t>
      </w:r>
    </w:p>
    <w:p w:rsidR="00441076" w:rsidRDefault="00441076" w:rsidP="004F7A1B">
      <w:pPr>
        <w:pStyle w:val="NoSpacing"/>
        <w:rPr>
          <w:rFonts w:ascii="Arial" w:eastAsia="Times New Roman" w:hAnsi="Arial" w:cs="Arial"/>
          <w:color w:val="222222"/>
          <w:sz w:val="18"/>
          <w:szCs w:val="18"/>
        </w:rPr>
      </w:pPr>
    </w:p>
    <w:p w:rsidR="004F7A1B" w:rsidRPr="00381E90" w:rsidRDefault="001E63AA" w:rsidP="004F7A1B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eastAsia="Times New Roman" w:hAnsi="Times New Roman" w:cs="Times New Roman"/>
          <w:color w:val="222222"/>
        </w:rPr>
        <w:t xml:space="preserve">This award was established to honor </w:t>
      </w:r>
      <w:r w:rsidR="004F7A1B" w:rsidRPr="00381E90">
        <w:rPr>
          <w:rFonts w:ascii="Times New Roman" w:eastAsia="Times New Roman" w:hAnsi="Times New Roman" w:cs="Times New Roman"/>
          <w:color w:val="222222"/>
        </w:rPr>
        <w:t xml:space="preserve">professional </w:t>
      </w:r>
      <w:r w:rsidRPr="00381E90">
        <w:rPr>
          <w:rFonts w:ascii="Times New Roman" w:eastAsia="Times New Roman" w:hAnsi="Times New Roman" w:cs="Times New Roman"/>
          <w:color w:val="222222"/>
        </w:rPr>
        <w:t xml:space="preserve">educators who have </w:t>
      </w:r>
      <w:r w:rsidRPr="00381E90">
        <w:rPr>
          <w:rFonts w:ascii="Times New Roman" w:eastAsia="Times New Roman" w:hAnsi="Times New Roman" w:cs="Times New Roman"/>
          <w:i/>
          <w:color w:val="222222"/>
        </w:rPr>
        <w:t>stood up</w:t>
      </w:r>
      <w:r w:rsidRPr="00381E90">
        <w:rPr>
          <w:rFonts w:ascii="Times New Roman" w:eastAsia="Times New Roman" w:hAnsi="Times New Roman" w:cs="Times New Roman"/>
          <w:color w:val="222222"/>
        </w:rPr>
        <w:t xml:space="preserve"> to laws, policies, and practices</w:t>
      </w:r>
      <w:r w:rsidR="004F7A1B" w:rsidRPr="00381E90">
        <w:rPr>
          <w:rFonts w:ascii="Times New Roman" w:eastAsia="Times New Roman" w:hAnsi="Times New Roman" w:cs="Times New Roman"/>
          <w:color w:val="222222"/>
        </w:rPr>
        <w:t xml:space="preserve"> i</w:t>
      </w:r>
      <w:r w:rsidR="004F7A1B" w:rsidRPr="00381E90">
        <w:rPr>
          <w:rFonts w:ascii="Times New Roman" w:hAnsi="Times New Roman" w:cs="Times New Roman"/>
        </w:rPr>
        <w:t>n an extraordinary way and have set an example of well grounded, humanistic, holistic education.</w:t>
      </w:r>
      <w:r w:rsidR="00381E90" w:rsidRPr="00381E90">
        <w:rPr>
          <w:rFonts w:ascii="Times New Roman" w:hAnsi="Times New Roman" w:cs="Times New Roman"/>
        </w:rPr>
        <w:t xml:space="preserve"> </w:t>
      </w:r>
      <w:r w:rsidR="004F7A1B" w:rsidRPr="00381E90">
        <w:rPr>
          <w:rFonts w:ascii="Times New Roman" w:hAnsi="Times New Roman" w:cs="Times New Roman"/>
        </w:rPr>
        <w:t>Read more a</w:t>
      </w:r>
      <w:r w:rsidR="00A826B4">
        <w:rPr>
          <w:rFonts w:ascii="Times New Roman" w:hAnsi="Times New Roman" w:cs="Times New Roman"/>
        </w:rPr>
        <w:t xml:space="preserve">t </w:t>
      </w:r>
      <w:hyperlink r:id="rId5" w:history="1">
        <w:r w:rsidR="00A826B4" w:rsidRPr="000F3190">
          <w:rPr>
            <w:rStyle w:val="Hyperlink"/>
            <w:rFonts w:ascii="Times New Roman" w:hAnsi="Times New Roman" w:cs="Times New Roman"/>
            <w:shd w:val="clear" w:color="auto" w:fill="FFFFFF"/>
          </w:rPr>
          <w:t>www.coe.arizona.edu/tls/</w:t>
        </w:r>
        <w:r w:rsidR="00A826B4" w:rsidRPr="000F3190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good</w:t>
        </w:r>
        <w:r w:rsidR="00A826B4" w:rsidRPr="000F3190">
          <w:rPr>
            <w:rStyle w:val="Hyperlink"/>
            <w:rFonts w:ascii="Times New Roman" w:hAnsi="Times New Roman" w:cs="Times New Roman"/>
            <w:shd w:val="clear" w:color="auto" w:fill="FFFFFF"/>
          </w:rPr>
          <w:t>man_</w:t>
        </w:r>
        <w:r w:rsidR="00A826B4" w:rsidRPr="000F3190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award</w:t>
        </w:r>
      </w:hyperlink>
      <w:r w:rsidR="00A826B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62C58" w:rsidRPr="00381E90">
        <w:rPr>
          <w:rFonts w:ascii="Times New Roman" w:hAnsi="Times New Roman" w:cs="Times New Roman"/>
        </w:rPr>
        <w:t>to view the</w:t>
      </w:r>
      <w:r w:rsidR="004F7A1B" w:rsidRPr="00381E90">
        <w:rPr>
          <w:rFonts w:ascii="Times New Roman" w:hAnsi="Times New Roman" w:cs="Times New Roman"/>
        </w:rPr>
        <w:t xml:space="preserve"> list of former award winners. </w:t>
      </w:r>
    </w:p>
    <w:p w:rsidR="001E63AA" w:rsidRPr="00381E90" w:rsidRDefault="001E63AA" w:rsidP="001E63AA">
      <w:pPr>
        <w:shd w:val="clear" w:color="auto" w:fill="FFFFFF"/>
        <w:spacing w:before="100" w:beforeAutospacing="1" w:after="60" w:line="300" w:lineRule="atLeast"/>
        <w:outlineLvl w:val="4"/>
        <w:rPr>
          <w:rFonts w:ascii="Times New Roman" w:eastAsia="Times New Roman" w:hAnsi="Times New Roman" w:cs="Times New Roman"/>
          <w:b/>
          <w:bCs/>
          <w:color w:val="F79646" w:themeColor="accent6"/>
        </w:rPr>
      </w:pPr>
      <w:r w:rsidRPr="00381E90">
        <w:rPr>
          <w:rFonts w:ascii="Times New Roman" w:eastAsia="Times New Roman" w:hAnsi="Times New Roman" w:cs="Times New Roman"/>
          <w:b/>
          <w:bCs/>
          <w:color w:val="F79646" w:themeColor="accent6"/>
        </w:rPr>
        <w:t>Nominati</w:t>
      </w:r>
      <w:r w:rsidR="00FB4027" w:rsidRPr="00381E90">
        <w:rPr>
          <w:rFonts w:ascii="Times New Roman" w:eastAsia="Times New Roman" w:hAnsi="Times New Roman" w:cs="Times New Roman"/>
          <w:b/>
          <w:bCs/>
          <w:color w:val="F79646" w:themeColor="accent6"/>
        </w:rPr>
        <w:t>ng</w:t>
      </w:r>
      <w:r w:rsidRPr="00381E90">
        <w:rPr>
          <w:rFonts w:ascii="Times New Roman" w:eastAsia="Times New Roman" w:hAnsi="Times New Roman" w:cs="Times New Roman"/>
          <w:b/>
          <w:bCs/>
          <w:color w:val="F79646" w:themeColor="accent6"/>
        </w:rPr>
        <w:t xml:space="preserve"> Procedures</w:t>
      </w:r>
    </w:p>
    <w:p w:rsidR="001E63AA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The Department of Teaching,</w:t>
      </w:r>
      <w:r w:rsidR="007E2BB7">
        <w:rPr>
          <w:rFonts w:ascii="Times New Roman" w:hAnsi="Times New Roman" w:cs="Times New Roman"/>
        </w:rPr>
        <w:t xml:space="preserve">, Learning </w:t>
      </w:r>
      <w:r w:rsidRPr="00381E90">
        <w:rPr>
          <w:rFonts w:ascii="Times New Roman" w:hAnsi="Times New Roman" w:cs="Times New Roman"/>
        </w:rPr>
        <w:t>and Sociocultural Studies (</w:t>
      </w:r>
      <w:r w:rsidR="007E2BB7">
        <w:rPr>
          <w:rFonts w:ascii="Times New Roman" w:hAnsi="Times New Roman" w:cs="Times New Roman"/>
        </w:rPr>
        <w:t xml:space="preserve">including the Program in </w:t>
      </w:r>
      <w:r w:rsidRPr="00381E90">
        <w:rPr>
          <w:rFonts w:ascii="Times New Roman" w:hAnsi="Times New Roman" w:cs="Times New Roman"/>
        </w:rPr>
        <w:t>Language, Reading and Culture</w:t>
      </w:r>
      <w:r w:rsidR="007E2BB7">
        <w:rPr>
          <w:rFonts w:ascii="Times New Roman" w:hAnsi="Times New Roman" w:cs="Times New Roman"/>
        </w:rPr>
        <w:t>)</w:t>
      </w:r>
      <w:r w:rsidRPr="00381E90">
        <w:rPr>
          <w:rFonts w:ascii="Times New Roman" w:hAnsi="Times New Roman" w:cs="Times New Roman"/>
        </w:rPr>
        <w:t xml:space="preserve"> in the College of Education at the University of Arizona seeks nominations for </w:t>
      </w:r>
      <w:r w:rsidR="004F7A1B" w:rsidRPr="00381E90">
        <w:rPr>
          <w:rFonts w:ascii="Times New Roman" w:hAnsi="Times New Roman" w:cs="Times New Roman"/>
        </w:rPr>
        <w:t xml:space="preserve">this </w:t>
      </w:r>
      <w:r w:rsidRPr="00381E90">
        <w:rPr>
          <w:rFonts w:ascii="Times New Roman" w:hAnsi="Times New Roman" w:cs="Times New Roman"/>
        </w:rPr>
        <w:t xml:space="preserve">award given in honor of </w:t>
      </w:r>
      <w:hyperlink r:id="rId6" w:tgtFrame="_blank" w:history="1">
        <w:r w:rsidRPr="00381E90">
          <w:rPr>
            <w:rFonts w:ascii="Times New Roman" w:hAnsi="Times New Roman" w:cs="Times New Roman"/>
            <w:color w:val="568F18"/>
            <w:u w:val="single"/>
          </w:rPr>
          <w:t>Kenneth S. Goodman</w:t>
        </w:r>
      </w:hyperlink>
      <w:r w:rsidR="004F7A1B" w:rsidRPr="00381E90">
        <w:rPr>
          <w:rFonts w:ascii="Times New Roman" w:hAnsi="Times New Roman" w:cs="Times New Roman"/>
        </w:rPr>
        <w:t xml:space="preserve">, </w:t>
      </w:r>
      <w:r w:rsidRPr="00381E90">
        <w:rPr>
          <w:rFonts w:ascii="Times New Roman" w:hAnsi="Times New Roman" w:cs="Times New Roman"/>
        </w:rPr>
        <w:t>recognized internationally as an advocate for teachers, political action</w:t>
      </w:r>
      <w:r w:rsidR="004F7A1B" w:rsidRPr="00381E90">
        <w:rPr>
          <w:rFonts w:ascii="Times New Roman" w:hAnsi="Times New Roman" w:cs="Times New Roman"/>
        </w:rPr>
        <w:t xml:space="preserve">, </w:t>
      </w:r>
      <w:r w:rsidRPr="00381E90">
        <w:rPr>
          <w:rFonts w:ascii="Times New Roman" w:hAnsi="Times New Roman" w:cs="Times New Roman"/>
        </w:rPr>
        <w:t>holistic education</w:t>
      </w:r>
      <w:r w:rsidR="004F7A1B" w:rsidRPr="00381E90">
        <w:rPr>
          <w:rFonts w:ascii="Times New Roman" w:hAnsi="Times New Roman" w:cs="Times New Roman"/>
        </w:rPr>
        <w:t xml:space="preserve"> and his comprehensive theory</w:t>
      </w:r>
      <w:bookmarkStart w:id="0" w:name="_GoBack"/>
      <w:bookmarkEnd w:id="0"/>
      <w:r w:rsidR="004F7A1B" w:rsidRPr="00381E90">
        <w:rPr>
          <w:rFonts w:ascii="Times New Roman" w:hAnsi="Times New Roman" w:cs="Times New Roman"/>
        </w:rPr>
        <w:t xml:space="preserve"> of reading</w:t>
      </w:r>
      <w:r w:rsidRPr="00381E90">
        <w:rPr>
          <w:rFonts w:ascii="Times New Roman" w:hAnsi="Times New Roman" w:cs="Times New Roman"/>
        </w:rPr>
        <w:t>.</w:t>
      </w:r>
      <w:r w:rsidR="001B48F0">
        <w:rPr>
          <w:rFonts w:ascii="Times New Roman" w:hAnsi="Times New Roman" w:cs="Times New Roman"/>
        </w:rPr>
        <w:t xml:space="preserve"> Nominations for the 2016</w:t>
      </w:r>
      <w:r w:rsidR="007E2BB7">
        <w:rPr>
          <w:rFonts w:ascii="Times New Roman" w:hAnsi="Times New Roman" w:cs="Times New Roman"/>
        </w:rPr>
        <w:t xml:space="preserve"> award will be accepted </w:t>
      </w:r>
      <w:r w:rsidR="006216FD">
        <w:rPr>
          <w:rFonts w:ascii="Times New Roman" w:hAnsi="Times New Roman" w:cs="Times New Roman"/>
        </w:rPr>
        <w:t xml:space="preserve">anytime </w:t>
      </w:r>
      <w:r w:rsidR="000A6544">
        <w:rPr>
          <w:rFonts w:ascii="Times New Roman" w:hAnsi="Times New Roman" w:cs="Times New Roman"/>
        </w:rPr>
        <w:t xml:space="preserve">until </w:t>
      </w:r>
      <w:r w:rsidR="001B48F0">
        <w:rPr>
          <w:rFonts w:ascii="Times New Roman" w:hAnsi="Times New Roman" w:cs="Times New Roman"/>
        </w:rPr>
        <w:t>November 30, 2015</w:t>
      </w:r>
      <w:r w:rsidR="007E2BB7">
        <w:rPr>
          <w:rFonts w:ascii="Times New Roman" w:hAnsi="Times New Roman" w:cs="Times New Roman"/>
        </w:rPr>
        <w:t xml:space="preserve">. </w:t>
      </w:r>
    </w:p>
    <w:p w:rsidR="007E2BB7" w:rsidRPr="00381E90" w:rsidRDefault="007E2BB7" w:rsidP="001E63AA">
      <w:pPr>
        <w:pStyle w:val="NoSpacing"/>
        <w:rPr>
          <w:rFonts w:ascii="Times New Roman" w:hAnsi="Times New Roman" w:cs="Times New Roman"/>
        </w:rPr>
      </w:pPr>
    </w:p>
    <w:p w:rsidR="001E63AA" w:rsidRPr="00381E90" w:rsidRDefault="004F7A1B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R</w:t>
      </w:r>
      <w:r w:rsidR="001E63AA" w:rsidRPr="00381E90">
        <w:rPr>
          <w:rFonts w:ascii="Times New Roman" w:hAnsi="Times New Roman" w:cs="Times New Roman"/>
        </w:rPr>
        <w:t xml:space="preserve">eview the following criteria and procedures. </w:t>
      </w:r>
      <w:r w:rsidRPr="00381E90">
        <w:rPr>
          <w:rFonts w:ascii="Times New Roman" w:hAnsi="Times New Roman" w:cs="Times New Roman"/>
        </w:rPr>
        <w:t>N</w:t>
      </w:r>
      <w:r w:rsidR="001E63AA" w:rsidRPr="00381E90">
        <w:rPr>
          <w:rFonts w:ascii="Times New Roman" w:hAnsi="Times New Roman" w:cs="Times New Roman"/>
        </w:rPr>
        <w:t>ominate a</w:t>
      </w:r>
      <w:r w:rsidR="00FB4027" w:rsidRPr="00381E90">
        <w:rPr>
          <w:rFonts w:ascii="Times New Roman" w:hAnsi="Times New Roman" w:cs="Times New Roman"/>
        </w:rPr>
        <w:t xml:space="preserve"> courageous </w:t>
      </w:r>
      <w:r w:rsidR="001E63AA" w:rsidRPr="00381E90">
        <w:rPr>
          <w:rFonts w:ascii="Times New Roman" w:hAnsi="Times New Roman" w:cs="Times New Roman"/>
        </w:rPr>
        <w:t>educator</w:t>
      </w:r>
      <w:r w:rsidRPr="00381E90">
        <w:rPr>
          <w:rFonts w:ascii="Times New Roman" w:hAnsi="Times New Roman" w:cs="Times New Roman"/>
        </w:rPr>
        <w:t xml:space="preserve"> y</w:t>
      </w:r>
      <w:r w:rsidR="001E63AA" w:rsidRPr="00381E90">
        <w:rPr>
          <w:rFonts w:ascii="Times New Roman" w:hAnsi="Times New Roman" w:cs="Times New Roman"/>
        </w:rPr>
        <w:t xml:space="preserve">ou believe deserves </w:t>
      </w:r>
      <w:r w:rsidRPr="00381E90">
        <w:rPr>
          <w:rFonts w:ascii="Times New Roman" w:hAnsi="Times New Roman" w:cs="Times New Roman"/>
        </w:rPr>
        <w:t xml:space="preserve">this </w:t>
      </w:r>
      <w:r w:rsidR="001E63AA" w:rsidRPr="00381E90">
        <w:rPr>
          <w:rFonts w:ascii="Times New Roman" w:hAnsi="Times New Roman" w:cs="Times New Roman"/>
        </w:rPr>
        <w:t>recognition</w:t>
      </w:r>
      <w:r w:rsidRPr="00381E90">
        <w:rPr>
          <w:rFonts w:ascii="Times New Roman" w:hAnsi="Times New Roman" w:cs="Times New Roman"/>
        </w:rPr>
        <w:t xml:space="preserve"> and you are welcome to self nominate.  </w:t>
      </w:r>
      <w:r w:rsidR="001E63AA" w:rsidRPr="00381E90">
        <w:rPr>
          <w:rFonts w:ascii="Times New Roman" w:hAnsi="Times New Roman" w:cs="Times New Roman"/>
        </w:rPr>
        <w:t xml:space="preserve">The award winner will be invited to attend a reception in his/her honor and to speak at a departmental Annual Conference often held in the spring. </w:t>
      </w:r>
      <w:r w:rsidR="007E2BB7">
        <w:rPr>
          <w:rFonts w:ascii="Times New Roman" w:hAnsi="Times New Roman" w:cs="Times New Roman"/>
        </w:rPr>
        <w:t>(</w:t>
      </w:r>
      <w:proofErr w:type="gramStart"/>
      <w:r w:rsidR="007E2BB7">
        <w:rPr>
          <w:rFonts w:ascii="Times New Roman" w:hAnsi="Times New Roman" w:cs="Times New Roman"/>
        </w:rPr>
        <w:t>sponsored</w:t>
      </w:r>
      <w:proofErr w:type="gramEnd"/>
      <w:r w:rsidR="007E2BB7">
        <w:rPr>
          <w:rFonts w:ascii="Times New Roman" w:hAnsi="Times New Roman" w:cs="Times New Roman"/>
        </w:rPr>
        <w:t xml:space="preserve"> by the Kenneth and Yetta Goodman endowment)</w:t>
      </w:r>
    </w:p>
    <w:p w:rsidR="001E63AA" w:rsidRPr="00381E90" w:rsidRDefault="001E63AA" w:rsidP="001E63AA">
      <w:pPr>
        <w:shd w:val="clear" w:color="auto" w:fill="FFFFFF"/>
        <w:spacing w:before="100" w:beforeAutospacing="1" w:after="60" w:line="300" w:lineRule="atLeast"/>
        <w:outlineLvl w:val="4"/>
        <w:rPr>
          <w:rFonts w:ascii="Times New Roman" w:eastAsia="Times New Roman" w:hAnsi="Times New Roman" w:cs="Times New Roman"/>
          <w:b/>
          <w:bCs/>
          <w:color w:val="F79646" w:themeColor="accent6"/>
        </w:rPr>
      </w:pPr>
      <w:r w:rsidRPr="00381E90">
        <w:rPr>
          <w:rFonts w:ascii="Times New Roman" w:eastAsia="Times New Roman" w:hAnsi="Times New Roman" w:cs="Times New Roman"/>
          <w:b/>
          <w:bCs/>
          <w:color w:val="F79646" w:themeColor="accent6"/>
        </w:rPr>
        <w:t>Criteria</w:t>
      </w:r>
    </w:p>
    <w:p w:rsidR="001E63AA" w:rsidRPr="00381E90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The criteria for the award include:</w:t>
      </w:r>
    </w:p>
    <w:p w:rsidR="00FB4027" w:rsidRPr="00381E90" w:rsidRDefault="009D7996" w:rsidP="00FB40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E63AA" w:rsidRPr="00381E90">
        <w:rPr>
          <w:rFonts w:ascii="Times New Roman" w:hAnsi="Times New Roman" w:cs="Times New Roman"/>
        </w:rPr>
        <w:t xml:space="preserve"> professional educator at any level who has experienced economic or social consequences</w:t>
      </w:r>
      <w:r>
        <w:rPr>
          <w:rFonts w:ascii="Times New Roman" w:hAnsi="Times New Roman" w:cs="Times New Roman"/>
        </w:rPr>
        <w:t xml:space="preserve"> </w:t>
      </w:r>
      <w:r w:rsidR="001E63AA" w:rsidRPr="00381E90">
        <w:rPr>
          <w:rFonts w:ascii="Times New Roman" w:hAnsi="Times New Roman" w:cs="Times New Roman"/>
        </w:rPr>
        <w:t>as a result of "standing up."</w:t>
      </w:r>
      <w:r w:rsidR="004F7A1B" w:rsidRPr="00381E90">
        <w:rPr>
          <w:rFonts w:ascii="Times New Roman" w:hAnsi="Times New Roman" w:cs="Times New Roman"/>
        </w:rPr>
        <w:t xml:space="preserve">  </w:t>
      </w:r>
      <w:r w:rsidR="001E63AA" w:rsidRPr="00381E90">
        <w:rPr>
          <w:rFonts w:ascii="Times New Roman" w:hAnsi="Times New Roman" w:cs="Times New Roman"/>
        </w:rPr>
        <w:t xml:space="preserve">Preferably an educator connected to literacy </w:t>
      </w:r>
      <w:r w:rsidR="00FB4027" w:rsidRPr="00381E90">
        <w:rPr>
          <w:rFonts w:ascii="Times New Roman" w:hAnsi="Times New Roman" w:cs="Times New Roman"/>
        </w:rPr>
        <w:t xml:space="preserve">teaching and teacher education. </w:t>
      </w:r>
    </w:p>
    <w:p w:rsidR="00FB4027" w:rsidRPr="00381E90" w:rsidRDefault="00FB4027" w:rsidP="00FB4027">
      <w:pPr>
        <w:pStyle w:val="NoSpacing"/>
        <w:rPr>
          <w:rFonts w:ascii="Times New Roman" w:hAnsi="Times New Roman" w:cs="Times New Roman"/>
        </w:rPr>
      </w:pPr>
    </w:p>
    <w:p w:rsidR="001E63AA" w:rsidRPr="00381E90" w:rsidRDefault="001E63AA" w:rsidP="00FB4027">
      <w:pPr>
        <w:pStyle w:val="NoSpacing"/>
        <w:rPr>
          <w:rFonts w:ascii="Times New Roman" w:eastAsia="Times New Roman" w:hAnsi="Times New Roman" w:cs="Times New Roman"/>
          <w:b/>
          <w:bCs/>
          <w:color w:val="F79646" w:themeColor="accent6"/>
        </w:rPr>
      </w:pPr>
      <w:r w:rsidRPr="00381E90">
        <w:rPr>
          <w:rFonts w:ascii="Times New Roman" w:eastAsia="Times New Roman" w:hAnsi="Times New Roman" w:cs="Times New Roman"/>
          <w:b/>
          <w:bCs/>
          <w:color w:val="F79646" w:themeColor="accent6"/>
        </w:rPr>
        <w:t>Procedures</w:t>
      </w:r>
    </w:p>
    <w:p w:rsidR="001E63AA" w:rsidRPr="00381E90" w:rsidRDefault="000A6544" w:rsidP="001E63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 the approval of the</w:t>
      </w:r>
      <w:r w:rsidR="009D7996">
        <w:rPr>
          <w:rFonts w:ascii="Times New Roman" w:hAnsi="Times New Roman" w:cs="Times New Roman"/>
        </w:rPr>
        <w:t xml:space="preserve"> </w:t>
      </w:r>
      <w:r w:rsidR="001E63AA" w:rsidRPr="00381E90">
        <w:rPr>
          <w:rFonts w:ascii="Times New Roman" w:hAnsi="Times New Roman" w:cs="Times New Roman"/>
        </w:rPr>
        <w:t xml:space="preserve">nominee </w:t>
      </w:r>
      <w:r w:rsidR="004F7A1B" w:rsidRPr="00381E90">
        <w:rPr>
          <w:rFonts w:ascii="Times New Roman" w:hAnsi="Times New Roman" w:cs="Times New Roman"/>
        </w:rPr>
        <w:t xml:space="preserve">in writing </w:t>
      </w:r>
      <w:r w:rsidR="001E63AA" w:rsidRPr="00381E90">
        <w:rPr>
          <w:rFonts w:ascii="Times New Roman" w:hAnsi="Times New Roman" w:cs="Times New Roman"/>
        </w:rPr>
        <w:t>since she/he may have to release materials from personal files to supply supporting information.</w:t>
      </w:r>
    </w:p>
    <w:p w:rsidR="001E63AA" w:rsidRPr="00381E90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Send a letter of nomination (or self-nomination) and the following documentation:</w:t>
      </w:r>
    </w:p>
    <w:p w:rsidR="001E63AA" w:rsidRPr="00381E90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Curriculum vitae/résumé and 3 names of references (include phone numbers, email</w:t>
      </w:r>
      <w:r w:rsidR="00FB4027" w:rsidRPr="00381E90">
        <w:rPr>
          <w:rFonts w:ascii="Times New Roman" w:hAnsi="Times New Roman" w:cs="Times New Roman"/>
        </w:rPr>
        <w:t xml:space="preserve">s </w:t>
      </w:r>
      <w:r w:rsidRPr="00381E90">
        <w:rPr>
          <w:rFonts w:ascii="Times New Roman" w:hAnsi="Times New Roman" w:cs="Times New Roman"/>
        </w:rPr>
        <w:t>and addresses).</w:t>
      </w:r>
    </w:p>
    <w:p w:rsidR="001E63AA" w:rsidRPr="00381E90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Attach supporting evidence such as newspaper clippings, letters and memos, articles or position papers.</w:t>
      </w:r>
    </w:p>
    <w:p w:rsidR="00FB4027" w:rsidRPr="00381E90" w:rsidRDefault="00FB4027" w:rsidP="001E63AA">
      <w:pPr>
        <w:pStyle w:val="NoSpacing"/>
        <w:rPr>
          <w:rFonts w:ascii="Times New Roman" w:hAnsi="Times New Roman" w:cs="Times New Roman"/>
        </w:rPr>
      </w:pPr>
    </w:p>
    <w:p w:rsidR="007E2BB7" w:rsidRDefault="001E63AA" w:rsidP="001E63AA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 xml:space="preserve">Send documentation </w:t>
      </w:r>
      <w:r w:rsidR="007E2BB7">
        <w:rPr>
          <w:rFonts w:ascii="Times New Roman" w:hAnsi="Times New Roman" w:cs="Times New Roman"/>
        </w:rPr>
        <w:t xml:space="preserve">to: </w:t>
      </w:r>
    </w:p>
    <w:p w:rsidR="000A6544" w:rsidRDefault="000A6544" w:rsidP="001E63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Elizabeth Jaeger</w:t>
      </w:r>
    </w:p>
    <w:p w:rsidR="007E2BB7" w:rsidRDefault="007E2BB7" w:rsidP="001E63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Defense of Good Teaching C</w:t>
      </w:r>
      <w:r w:rsidR="001E63AA" w:rsidRPr="00381E90">
        <w:rPr>
          <w:rFonts w:ascii="Times New Roman" w:hAnsi="Times New Roman" w:cs="Times New Roman"/>
        </w:rPr>
        <w:t xml:space="preserve">ommittee </w:t>
      </w:r>
      <w:r>
        <w:rPr>
          <w:rFonts w:ascii="Times New Roman" w:hAnsi="Times New Roman" w:cs="Times New Roman"/>
        </w:rPr>
        <w:t>Ch</w:t>
      </w:r>
      <w:r w:rsidR="001E63AA" w:rsidRPr="00381E90">
        <w:rPr>
          <w:rFonts w:ascii="Times New Roman" w:hAnsi="Times New Roman" w:cs="Times New Roman"/>
        </w:rPr>
        <w:t>air</w:t>
      </w:r>
      <w:r>
        <w:rPr>
          <w:rFonts w:ascii="Times New Roman" w:hAnsi="Times New Roman" w:cs="Times New Roman"/>
        </w:rPr>
        <w:t xml:space="preserve">  </w:t>
      </w:r>
    </w:p>
    <w:p w:rsidR="007E2BB7" w:rsidRDefault="000A6544" w:rsidP="007101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  <w:r w:rsidR="007E2BB7">
        <w:rPr>
          <w:rFonts w:ascii="Times New Roman" w:hAnsi="Times New Roman" w:cs="Times New Roman"/>
        </w:rPr>
        <w:t xml:space="preserve">, Learning and Social Cultural Studies, </w:t>
      </w:r>
    </w:p>
    <w:p w:rsidR="00FB4027" w:rsidRPr="00381E90" w:rsidRDefault="007E2BB7" w:rsidP="007101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E63AA" w:rsidRPr="00381E90">
        <w:rPr>
          <w:rFonts w:ascii="Times New Roman" w:hAnsi="Times New Roman" w:cs="Times New Roman"/>
        </w:rPr>
        <w:t>ollege of Education</w:t>
      </w:r>
      <w:r w:rsidR="004F7A1B" w:rsidRPr="00381E90">
        <w:rPr>
          <w:rFonts w:ascii="Times New Roman" w:hAnsi="Times New Roman" w:cs="Times New Roman"/>
        </w:rPr>
        <w:t xml:space="preserve">, </w:t>
      </w:r>
      <w:r w:rsidR="001E63AA" w:rsidRPr="00381E90">
        <w:rPr>
          <w:rFonts w:ascii="Times New Roman" w:hAnsi="Times New Roman" w:cs="Times New Roman"/>
        </w:rPr>
        <w:t>University of Arizona</w:t>
      </w:r>
      <w:r w:rsidR="00FB4027" w:rsidRPr="00381E90">
        <w:rPr>
          <w:rFonts w:ascii="Times New Roman" w:hAnsi="Times New Roman" w:cs="Times New Roman"/>
        </w:rPr>
        <w:t>.</w:t>
      </w:r>
    </w:p>
    <w:p w:rsidR="001E63AA" w:rsidRPr="00381E90" w:rsidRDefault="001E63AA" w:rsidP="0071018B">
      <w:pPr>
        <w:pStyle w:val="NoSpacing"/>
        <w:rPr>
          <w:rFonts w:ascii="Times New Roman" w:hAnsi="Times New Roman" w:cs="Times New Roman"/>
        </w:rPr>
      </w:pPr>
      <w:r w:rsidRPr="00381E90">
        <w:rPr>
          <w:rFonts w:ascii="Times New Roman" w:hAnsi="Times New Roman" w:cs="Times New Roman"/>
        </w:rPr>
        <w:t>1430 East Second Street</w:t>
      </w:r>
      <w:r w:rsidRPr="00381E90">
        <w:rPr>
          <w:rFonts w:ascii="Times New Roman" w:hAnsi="Times New Roman" w:cs="Times New Roman"/>
        </w:rPr>
        <w:br/>
        <w:t>Tucson, AZ 85721</w:t>
      </w:r>
    </w:p>
    <w:p w:rsidR="00516A80" w:rsidRPr="00381E90" w:rsidRDefault="00516A80">
      <w:pPr>
        <w:rPr>
          <w:rFonts w:ascii="Times New Roman" w:hAnsi="Times New Roman" w:cs="Times New Roman"/>
        </w:rPr>
      </w:pPr>
    </w:p>
    <w:sectPr w:rsidR="00516A80" w:rsidRPr="00381E90" w:rsidSect="001E63AA">
      <w:pgSz w:w="12240" w:h="15840"/>
      <w:pgMar w:top="1440" w:right="1440" w:bottom="1440" w:left="1440" w:header="720" w:footer="72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A"/>
    <w:rsid w:val="000A6544"/>
    <w:rsid w:val="001B48F0"/>
    <w:rsid w:val="001E63AA"/>
    <w:rsid w:val="00381E90"/>
    <w:rsid w:val="00441076"/>
    <w:rsid w:val="004F7A1B"/>
    <w:rsid w:val="00516A80"/>
    <w:rsid w:val="006216FD"/>
    <w:rsid w:val="006619CA"/>
    <w:rsid w:val="0071018B"/>
    <w:rsid w:val="007E2BB7"/>
    <w:rsid w:val="007E4055"/>
    <w:rsid w:val="00933124"/>
    <w:rsid w:val="00943951"/>
    <w:rsid w:val="00945474"/>
    <w:rsid w:val="009D7996"/>
    <w:rsid w:val="00A826B4"/>
    <w:rsid w:val="00B909E9"/>
    <w:rsid w:val="00C4086F"/>
    <w:rsid w:val="00CA0ACA"/>
    <w:rsid w:val="00F62C58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EFD73-8C55-4BB2-B02F-81ED016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7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284">
                      <w:marLeft w:val="300"/>
                      <w:marRight w:val="0"/>
                      <w:marTop w:val="0"/>
                      <w:marBottom w:val="300"/>
                      <w:divBdr>
                        <w:top w:val="single" w:sz="6" w:space="8" w:color="D2D2D2"/>
                        <w:left w:val="single" w:sz="6" w:space="8" w:color="D2D2D2"/>
                        <w:bottom w:val="single" w:sz="6" w:space="8" w:color="D2D2D2"/>
                        <w:right w:val="single" w:sz="6" w:space="4" w:color="D2D2D2"/>
                      </w:divBdr>
                      <w:divsChild>
                        <w:div w:id="293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995">
                      <w:marLeft w:val="300"/>
                      <w:marRight w:val="0"/>
                      <w:marTop w:val="0"/>
                      <w:marBottom w:val="300"/>
                      <w:divBdr>
                        <w:top w:val="single" w:sz="6" w:space="8" w:color="D2D2D2"/>
                        <w:left w:val="single" w:sz="6" w:space="8" w:color="D2D2D2"/>
                        <w:bottom w:val="single" w:sz="6" w:space="8" w:color="D2D2D2"/>
                        <w:right w:val="single" w:sz="6" w:space="4" w:color="D2D2D2"/>
                      </w:divBdr>
                      <w:divsChild>
                        <w:div w:id="16665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.arizona.edu/~kgoodman/" TargetMode="External"/><Relationship Id="rId5" Type="http://schemas.openxmlformats.org/officeDocument/2006/relationships/hyperlink" Target="http://www.coe.arizona.edu/tls/goodman_awar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Zagorski, Debbie</cp:lastModifiedBy>
  <cp:revision>2</cp:revision>
  <cp:lastPrinted>2012-11-08T18:42:00Z</cp:lastPrinted>
  <dcterms:created xsi:type="dcterms:W3CDTF">2015-10-12T18:41:00Z</dcterms:created>
  <dcterms:modified xsi:type="dcterms:W3CDTF">2015-10-12T18:41:00Z</dcterms:modified>
</cp:coreProperties>
</file>